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08" w:rsidRDefault="009749B3">
      <w:r>
        <w:rPr>
          <w:noProof/>
        </w:rPr>
        <w:drawing>
          <wp:inline distT="0" distB="0" distL="0" distR="0">
            <wp:extent cx="5086350" cy="6781800"/>
            <wp:effectExtent l="19050" t="0" r="0" b="0"/>
            <wp:docPr id="1" name="Рисунок 1" descr="https://pp.userapi.com/c639526/v639526474/2bcde/LOzvrPJHJ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526/v639526474/2bcde/LOzvrPJHJx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B1" w:rsidRDefault="009605B1">
      <w:r>
        <w:t>Патент № 172236, «Устройство загрузки – выгрузки в ограниченном пространстве транспортного средства»</w:t>
      </w:r>
    </w:p>
    <w:p w:rsidR="009605B1" w:rsidRDefault="009605B1"/>
    <w:p w:rsidR="00200BDA" w:rsidRDefault="00200BDA">
      <w:r>
        <w:t>согласно статье 212 Налогового кодекса РФ, физические лица, выступающие в качестве индивидуальных предпринимателей, в случае получения беспроцентного целевого займа обязаны уплатить налог с двух третьих действующей ставки рефинансирования, установленной Центральным банком РФ на дату фактического получения налогоплательщиком дохода (момент возврата займа в соответствии планом-графиком). В качестве налогооблагаемой базы выступает величина погашенной задолженности за отчетный период.</w:t>
      </w:r>
    </w:p>
    <w:sectPr w:rsidR="00200BDA" w:rsidSect="0099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9B3"/>
    <w:rsid w:val="00200BDA"/>
    <w:rsid w:val="003B0719"/>
    <w:rsid w:val="009605B1"/>
    <w:rsid w:val="009749B3"/>
    <w:rsid w:val="0099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5</cp:revision>
  <dcterms:created xsi:type="dcterms:W3CDTF">2017-07-13T19:20:00Z</dcterms:created>
  <dcterms:modified xsi:type="dcterms:W3CDTF">2017-08-27T09:32:00Z</dcterms:modified>
</cp:coreProperties>
</file>